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30"/>
        <w:tblGridChange w:id="0">
          <w:tblGrid>
            <w:gridCol w:w="83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81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30"/>
              <w:tblGridChange w:id="0">
                <w:tblGrid>
                  <w:gridCol w:w="8130"/>
                </w:tblGrid>
              </w:tblGridChange>
            </w:tblGrid>
            <w:tr>
              <w:tc>
                <w:tcPr>
                  <w:shd w:fill="ffffff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3"/>
                    <w:numPr>
                      <w:ilvl w:val="0"/>
                      <w:numId w:val="1"/>
                    </w:numPr>
                    <w:spacing w:after="80" w:before="280" w:lineRule="auto"/>
                    <w:ind w:left="720" w:hanging="360"/>
                    <w:contextualSpacing w:val="1"/>
                    <w:rPr>
                      <w:sz w:val="22"/>
                    </w:rPr>
                  </w:pPr>
                  <w:bookmarkStart w:colFirst="0" w:colLast="0" w:name="h.xq8dk9txo2r5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highlight w:val="white"/>
                      <w:rtl w:val="0"/>
                    </w:rPr>
                    <w:t xml:space="preserve">Making A Brochure : Balance of Power After WWI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ind w:left="720" w:hanging="360"/>
                    <w:contextualSpacing w:val="1"/>
                    <w:rPr>
                      <w:sz w:val="22"/>
                    </w:rPr>
                  </w:pPr>
                  <w:r w:rsidDel="00000000" w:rsidR="00000000" w:rsidRPr="00000000">
                    <w:rPr>
                      <w:sz w:val="18"/>
                      <w:highlight w:val="white"/>
                      <w:rtl w:val="0"/>
                    </w:rPr>
                    <w:t xml:space="preserve">Teacher Name: </w:t>
                  </w:r>
                  <w:r w:rsidDel="00000000" w:rsidR="00000000" w:rsidRPr="00000000">
                    <w:rPr>
                      <w:b w:val="1"/>
                      <w:sz w:val="18"/>
                      <w:highlight w:val="white"/>
                      <w:rtl w:val="0"/>
                    </w:rPr>
                    <w:t xml:space="preserve">Lauren Ciecierski</w:t>
                  </w:r>
                  <w:r w:rsidDel="00000000" w:rsidR="00000000" w:rsidRPr="00000000">
                    <w:rPr>
                      <w:sz w:val="18"/>
                      <w:highlight w:val="whit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sz w:val="18"/>
                      <w:highlight w:val="white"/>
                      <w:rtl w:val="0"/>
                    </w:rPr>
                    <w:t xml:space="preserve">Student Name:     ________________________________________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79.186338523355"/>
        <w:gridCol w:w="1852.2551481667504"/>
        <w:gridCol w:w="1838.151682571572"/>
        <w:gridCol w:w="1838.151682571572"/>
        <w:gridCol w:w="1852.2551481667504"/>
        <w:tblGridChange w:id="0">
          <w:tblGrid>
            <w:gridCol w:w="1979.186338523355"/>
            <w:gridCol w:w="1852.2551481667504"/>
            <w:gridCol w:w="1838.151682571572"/>
            <w:gridCol w:w="1838.151682571572"/>
            <w:gridCol w:w="1852.2551481667504"/>
          </w:tblGrid>
        </w:tblGridChange>
      </w:tblGrid>
      <w:tr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hd w:fill="fffff7" w:val="clear"/>
                <w:rtl w:val="0"/>
              </w:rPr>
              <w:t xml:space="preserve">CATEGORY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4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3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2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Content - 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All answers describe what was happening in a post WWI World with specific examples and specific country names.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All answers describe what was happening in a post WWI World with general examples and specific country names.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All questions describe what was happening in a post WWI World with general examples and no countries named.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All questions are not answered clearly or well enough for credit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Attractiveness &amp; 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brochure has exceptionally attractive formatting and well-organized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brochure has attractive formatting and well-organized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brochure has well-organized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brochure\'s formatting and organization of material are confusing to the reader.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Knowledge Gained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student can accurately answer all questions related to facts in the brochure and to technical processes used to create the brochure.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student can accurately answer most questions related to facts in the brochure and to technical processes used to create the brochure.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student can accurately answer most questions related to facts in the brochure and to technical processes used to create the brochure.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student appears to have little knowledge about the facts or technical processes used in the brochure.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