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Treaty of Versailles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235.</w:t>
      </w:r>
    </w:p>
    <w:p w:rsidP="00000000" w:rsidRPr="00000000" w:rsidR="00000000" w:rsidDel="00000000" w:rsidRDefault="00000000">
      <w:pPr>
        <w:contextualSpacing w:val="0"/>
      </w:pPr>
      <w:r w:rsidRPr="00000000" w:rsidR="00000000" w:rsidDel="00000000">
        <w:rPr>
          <w:rtl w:val="0"/>
        </w:rPr>
        <w:t xml:space="preserve">In order to enable the Allied and Associated Powers to proceed at once to the restoration of their industrial and economic life, pending the full determination of their claims, Germany shall pay in such installments and in such manner (whether in gold, commodities, ships, securities or otherwise) as the Reparation Commission may fix, during 1919, 1920 and the first four months Of 1921 , the equivalent of 20,000,000,000 gold marks. Out of this sum the expenses of the armies of occupation subsequent to the Armistice of November 11, 1918, shall first be met, and such supplies of food and raw materials as may be judged by the Governments of the Principal Allied and Associated Powers to be essential to enable Germany to meet her obligations for reparation may also, with the approval of the said Governments, be paid for out of the above sum. The balance shall be reckoned towards liquidation of the amounts due for reparation. Germany shall further deposit bonds as prescribed in paragraph 12 (c) Of Annex II hereto.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ANNEX I.</w:t>
      </w:r>
    </w:p>
    <w:p w:rsidP="00000000" w:rsidRPr="00000000" w:rsidR="00000000" w:rsidDel="00000000" w:rsidRDefault="00000000">
      <w:pPr>
        <w:contextualSpacing w:val="0"/>
      </w:pPr>
      <w:r w:rsidRPr="00000000" w:rsidR="00000000" w:rsidDel="00000000">
        <w:rPr>
          <w:rtl w:val="0"/>
        </w:rPr>
        <w:t xml:space="preserve">Compensation may be claimed from Germany under Article 232 above in respect of the total damage under the following categories:</w:t>
      </w:r>
    </w:p>
    <w:p w:rsidP="00000000" w:rsidRPr="00000000" w:rsidR="00000000" w:rsidDel="00000000" w:rsidRDefault="00000000">
      <w:pPr>
        <w:contextualSpacing w:val="0"/>
      </w:pPr>
      <w:r w:rsidRPr="00000000" w:rsidR="00000000" w:rsidDel="00000000">
        <w:rPr>
          <w:rtl w:val="0"/>
        </w:rPr>
        <w:t xml:space="preserve">(l) Damage to injured persons and to surviving dependents by personal injury to or death of civilians caused by acts of war, including bombardments or other attacks on land, on sea, or from the air, and all the direct consequences thereof, and of all operations of war by the two groups of belligerents wherever arising.</w:t>
      </w:r>
    </w:p>
    <w:p w:rsidP="00000000" w:rsidRPr="00000000" w:rsidR="00000000" w:rsidDel="00000000" w:rsidRDefault="00000000">
      <w:pPr>
        <w:contextualSpacing w:val="0"/>
      </w:pPr>
      <w:r w:rsidRPr="00000000" w:rsidR="00000000" w:rsidDel="00000000">
        <w:rPr>
          <w:rtl w:val="0"/>
        </w:rPr>
        <w:t xml:space="preserve">(2) Damage caused by Germany or her allies to civilian victims of acts of cruelty, violence or maltreatment (including injuries to life or health as a consequence of imprisonment, deportation, internment or evacuation, of exposure at sea or of being forced to labour), wherever arising, and to the surviving dependents of such victims.</w:t>
      </w:r>
    </w:p>
    <w:p w:rsidP="00000000" w:rsidRPr="00000000" w:rsidR="00000000" w:rsidDel="00000000" w:rsidRDefault="00000000">
      <w:pPr>
        <w:contextualSpacing w:val="0"/>
      </w:pPr>
      <w:r w:rsidRPr="00000000" w:rsidR="00000000" w:rsidDel="00000000">
        <w:rPr>
          <w:rtl w:val="0"/>
        </w:rPr>
        <w:t xml:space="preserve">(3) Damage caused by Germany or her allies in their own territory or in occupied or invaded territory to civilian victims of all acts injurious to health or capacity to work, or to honour, as well as to the surviving dependents of such victims.</w:t>
      </w:r>
    </w:p>
    <w:p w:rsidP="00000000" w:rsidRPr="00000000" w:rsidR="00000000" w:rsidDel="00000000" w:rsidRDefault="00000000">
      <w:pPr>
        <w:contextualSpacing w:val="0"/>
      </w:pPr>
      <w:r w:rsidRPr="00000000" w:rsidR="00000000" w:rsidDel="00000000">
        <w:rPr>
          <w:rtl w:val="0"/>
        </w:rPr>
        <w:t xml:space="preserve">(4) Damage caused by any kind of maltreatment of prisoners of war.</w:t>
      </w:r>
    </w:p>
    <w:p w:rsidP="00000000" w:rsidRPr="00000000" w:rsidR="00000000" w:rsidDel="00000000" w:rsidRDefault="00000000">
      <w:pPr>
        <w:contextualSpacing w:val="0"/>
      </w:pPr>
      <w:r w:rsidRPr="00000000" w:rsidR="00000000" w:rsidDel="00000000">
        <w:rPr>
          <w:rtl w:val="0"/>
        </w:rPr>
        <w:t xml:space="preserve">(5) As damage caused to the peoples of the Allied and Associated Powers, all pensions and compensation in the nature of pensions to naval and military victims of war (including members of the air force), whether mutilated, wounded, sick or invalided, and to the dependents of such victims, the amount due to the Allied and Associated Governments being calculated for each of them as being the capitalised cost of such pensions and compensation at the date of the coming into force of the present Treaty on the basis of the scales in force in France at such 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159.</w:t>
      </w:r>
    </w:p>
    <w:p w:rsidP="00000000" w:rsidRPr="00000000" w:rsidR="00000000" w:rsidDel="00000000" w:rsidRDefault="00000000">
      <w:pPr>
        <w:contextualSpacing w:val="0"/>
      </w:pPr>
      <w:r w:rsidRPr="00000000" w:rsidR="00000000" w:rsidDel="00000000">
        <w:rPr>
          <w:rtl w:val="0"/>
        </w:rPr>
        <w:t xml:space="preserve">The German military forces shall be demobilised and reduced as prescribed hereinafter.</w:t>
      </w:r>
    </w:p>
    <w:p w:rsidP="00000000" w:rsidRPr="00000000" w:rsidR="00000000" w:rsidDel="00000000" w:rsidRDefault="00000000">
      <w:pPr>
        <w:contextualSpacing w:val="0"/>
      </w:pPr>
      <w:r w:rsidRPr="00000000" w:rsidR="00000000" w:rsidDel="00000000">
        <w:rPr>
          <w:rtl w:val="0"/>
        </w:rPr>
        <w:t xml:space="preserve">ARTICLE 160.</w:t>
      </w:r>
    </w:p>
    <w:p w:rsidP="00000000" w:rsidRPr="00000000" w:rsidR="00000000" w:rsidDel="00000000" w:rsidRDefault="00000000">
      <w:pPr>
        <w:contextualSpacing w:val="0"/>
      </w:pPr>
      <w:r w:rsidRPr="00000000" w:rsidR="00000000" w:rsidDel="00000000">
        <w:rPr>
          <w:rtl w:val="0"/>
        </w:rPr>
        <w:t xml:space="preserve">(1) By a date which must not be later than March 31, 1920, the German Army must not comprise more than seven divisions of infantry and three divisions of cavalry.</w:t>
      </w:r>
    </w:p>
    <w:p w:rsidP="00000000" w:rsidRPr="00000000" w:rsidR="00000000" w:rsidDel="00000000" w:rsidRDefault="00000000">
      <w:pPr>
        <w:contextualSpacing w:val="0"/>
      </w:pPr>
      <w:r w:rsidRPr="00000000" w:rsidR="00000000" w:rsidDel="00000000">
        <w:rPr>
          <w:rtl w:val="0"/>
        </w:rPr>
        <w:t xml:space="preserve">After that date the total number of effectives in the Army of the States constituting Germany must not exceed one hundred thousand men, including officers and establishments of depots. The Army shall be devoted exclusively to the maintenance of order within the territory and to the control of the frontiers.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ARTICLE 170.</w:t>
      </w:r>
    </w:p>
    <w:p w:rsidP="00000000" w:rsidRPr="00000000" w:rsidR="00000000" w:rsidDel="00000000" w:rsidRDefault="00000000">
      <w:pPr>
        <w:contextualSpacing w:val="0"/>
      </w:pPr>
      <w:r w:rsidRPr="00000000" w:rsidR="00000000" w:rsidDel="00000000">
        <w:rPr>
          <w:rtl w:val="0"/>
        </w:rPr>
        <w:t xml:space="preserve">Importation into Germany of arms, munitions and war material of every kind shall be strictly prohibited.</w:t>
      </w:r>
    </w:p>
    <w:p w:rsidP="00000000" w:rsidRPr="00000000" w:rsidR="00000000" w:rsidDel="00000000" w:rsidRDefault="00000000">
      <w:pPr>
        <w:contextualSpacing w:val="0"/>
      </w:pPr>
      <w:r w:rsidRPr="00000000" w:rsidR="00000000" w:rsidDel="00000000">
        <w:rPr>
          <w:rtl w:val="0"/>
        </w:rPr>
        <w:t xml:space="preserve">The same applies to the manufacture for, and export to, foreign countries of arms, munitions and war material of every kind.</w:t>
      </w:r>
    </w:p>
    <w:p w:rsidP="00000000" w:rsidRPr="00000000" w:rsidR="00000000" w:rsidDel="00000000" w:rsidRDefault="00000000">
      <w:pPr>
        <w:contextualSpacing w:val="0"/>
      </w:pPr>
      <w:r w:rsidRPr="00000000" w:rsidR="00000000" w:rsidDel="00000000">
        <w:rPr>
          <w:rtl w:val="0"/>
        </w:rPr>
        <w:t xml:space="preserve">ARTICLE 171</w:t>
      </w:r>
    </w:p>
    <w:p w:rsidP="00000000" w:rsidRPr="00000000" w:rsidR="00000000" w:rsidDel="00000000" w:rsidRDefault="00000000">
      <w:pPr>
        <w:contextualSpacing w:val="0"/>
      </w:pPr>
      <w:r w:rsidRPr="00000000" w:rsidR="00000000" w:rsidDel="00000000">
        <w:rPr>
          <w:rtl w:val="0"/>
        </w:rPr>
        <w:t xml:space="preserve">The use of asphyxiating, poisonous or other gases and all analogous liquids, materials or devices being prohibited, their manufacture and importation are strictly forbidden in Germany.</w:t>
      </w:r>
    </w:p>
    <w:p w:rsidP="00000000" w:rsidRPr="00000000" w:rsidR="00000000" w:rsidDel="00000000" w:rsidRDefault="00000000">
      <w:pPr>
        <w:contextualSpacing w:val="0"/>
      </w:pPr>
      <w:r w:rsidRPr="00000000" w:rsidR="00000000" w:rsidDel="00000000">
        <w:rPr>
          <w:rtl w:val="0"/>
        </w:rPr>
        <w:t xml:space="preserve">The same applies to materials specially intended for the manufacture, storage and use of the said products or devices.</w:t>
      </w:r>
    </w:p>
    <w:p w:rsidP="00000000" w:rsidRPr="00000000" w:rsidR="00000000" w:rsidDel="00000000" w:rsidRDefault="00000000">
      <w:pPr>
        <w:contextualSpacing w:val="0"/>
      </w:pPr>
      <w:r w:rsidRPr="00000000" w:rsidR="00000000" w:rsidDel="00000000">
        <w:rPr>
          <w:rtl w:val="0"/>
        </w:rPr>
        <w:t xml:space="preserve">The manufacture and the importation into Germany of armoured cars, tanks and all similar constructions suitable for use in war are also prohibited.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an immediate advance on account of the animals referred to in paragraph 2 (a) above, Germany undertakes to deliver in equal monthly installments in the three months following the coming into force of the present Treaty the following quantities of live stock:</w:t>
      </w:r>
    </w:p>
    <w:p w:rsidP="00000000" w:rsidRPr="00000000" w:rsidR="00000000" w:rsidDel="00000000" w:rsidRDefault="00000000">
      <w:pPr>
        <w:contextualSpacing w:val="0"/>
      </w:pPr>
      <w:r w:rsidRPr="00000000" w:rsidR="00000000" w:rsidDel="00000000">
        <w:rPr>
          <w:rtl w:val="0"/>
        </w:rPr>
        <w:t xml:space="preserve">(1) To the French Government.</w:t>
      </w:r>
    </w:p>
    <w:p w:rsidP="00000000" w:rsidRPr="00000000" w:rsidR="00000000" w:rsidDel="00000000" w:rsidRDefault="00000000">
      <w:pPr>
        <w:contextualSpacing w:val="0"/>
      </w:pPr>
      <w:r w:rsidRPr="00000000" w:rsidR="00000000" w:rsidDel="00000000">
        <w:rPr>
          <w:rtl w:val="0"/>
        </w:rPr>
        <w:t xml:space="preserve">500 stallions (3 to 7 years);</w:t>
      </w:r>
    </w:p>
    <w:p w:rsidP="00000000" w:rsidRPr="00000000" w:rsidR="00000000" w:rsidDel="00000000" w:rsidRDefault="00000000">
      <w:pPr>
        <w:contextualSpacing w:val="0"/>
      </w:pPr>
      <w:r w:rsidRPr="00000000" w:rsidR="00000000" w:rsidDel="00000000">
        <w:rPr>
          <w:rtl w:val="0"/>
        </w:rPr>
        <w:t xml:space="preserve">30,000 fillies and mares (18 months to 7 years), type: Ardennais, Boulonnais or Belgian;</w:t>
      </w:r>
    </w:p>
    <w:p w:rsidP="00000000" w:rsidRPr="00000000" w:rsidR="00000000" w:rsidDel="00000000" w:rsidRDefault="00000000">
      <w:pPr>
        <w:contextualSpacing w:val="0"/>
      </w:pPr>
      <w:r w:rsidRPr="00000000" w:rsidR="00000000" w:rsidDel="00000000">
        <w:rPr>
          <w:rtl w:val="0"/>
        </w:rPr>
        <w:t xml:space="preserve">2,000 bulls (18 months to 3 years);</w:t>
      </w:r>
    </w:p>
    <w:p w:rsidP="00000000" w:rsidRPr="00000000" w:rsidR="00000000" w:rsidDel="00000000" w:rsidRDefault="00000000">
      <w:pPr>
        <w:contextualSpacing w:val="0"/>
      </w:pPr>
      <w:r w:rsidRPr="00000000" w:rsidR="00000000" w:rsidDel="00000000">
        <w:rPr>
          <w:rtl w:val="0"/>
        </w:rPr>
        <w:t xml:space="preserve">90,000 milch cows (2 to 6 years);</w:t>
      </w:r>
    </w:p>
    <w:p w:rsidP="00000000" w:rsidRPr="00000000" w:rsidR="00000000" w:rsidDel="00000000" w:rsidRDefault="00000000">
      <w:pPr>
        <w:contextualSpacing w:val="0"/>
      </w:pPr>
      <w:r w:rsidRPr="00000000" w:rsidR="00000000" w:rsidDel="00000000">
        <w:rPr>
          <w:rtl w:val="0"/>
        </w:rPr>
        <w:t xml:space="preserve">1,000 rams;</w:t>
      </w:r>
    </w:p>
    <w:p w:rsidP="00000000" w:rsidRPr="00000000" w:rsidR="00000000" w:rsidDel="00000000" w:rsidRDefault="00000000">
      <w:pPr>
        <w:contextualSpacing w:val="0"/>
      </w:pPr>
      <w:r w:rsidRPr="00000000" w:rsidR="00000000" w:rsidDel="00000000">
        <w:rPr>
          <w:rtl w:val="0"/>
        </w:rPr>
        <w:t xml:space="preserve">100,000 sheep;</w:t>
      </w:r>
    </w:p>
    <w:p w:rsidP="00000000" w:rsidRPr="00000000" w:rsidR="00000000" w:rsidDel="00000000" w:rsidRDefault="00000000">
      <w:pPr>
        <w:contextualSpacing w:val="0"/>
      </w:pPr>
      <w:r w:rsidRPr="00000000" w:rsidR="00000000" w:rsidDel="00000000">
        <w:rPr>
          <w:rtl w:val="0"/>
        </w:rPr>
        <w:t xml:space="preserve">10,000 goats.</w:t>
      </w:r>
    </w:p>
    <w:p w:rsidP="00000000" w:rsidRPr="00000000" w:rsidR="00000000" w:rsidDel="00000000" w:rsidRDefault="00000000">
      <w:pPr>
        <w:contextualSpacing w:val="0"/>
      </w:pPr>
      <w:r w:rsidRPr="00000000" w:rsidR="00000000" w:rsidDel="00000000">
        <w:rPr>
          <w:rtl w:val="0"/>
        </w:rPr>
        <w:t xml:space="preserve">(2) To the Belgian Government.</w:t>
      </w:r>
    </w:p>
    <w:p w:rsidP="00000000" w:rsidRPr="00000000" w:rsidR="00000000" w:rsidDel="00000000" w:rsidRDefault="00000000">
      <w:pPr>
        <w:contextualSpacing w:val="0"/>
      </w:pPr>
      <w:r w:rsidRPr="00000000" w:rsidR="00000000" w:rsidDel="00000000">
        <w:rPr>
          <w:rtl w:val="0"/>
        </w:rPr>
        <w:t xml:space="preserve">200 stallions (3 to 7 years), large Belgian type;</w:t>
      </w:r>
    </w:p>
    <w:p w:rsidP="00000000" w:rsidRPr="00000000" w:rsidR="00000000" w:rsidDel="00000000" w:rsidRDefault="00000000">
      <w:pPr>
        <w:contextualSpacing w:val="0"/>
      </w:pPr>
      <w:r w:rsidRPr="00000000" w:rsidR="00000000" w:rsidDel="00000000">
        <w:rPr>
          <w:rtl w:val="0"/>
        </w:rPr>
        <w:t xml:space="preserve">5,000 mares (3 to 7 years), large Belgian type;</w:t>
      </w:r>
    </w:p>
    <w:p w:rsidP="00000000" w:rsidRPr="00000000" w:rsidR="00000000" w:rsidDel="00000000" w:rsidRDefault="00000000">
      <w:pPr>
        <w:contextualSpacing w:val="0"/>
      </w:pPr>
      <w:r w:rsidRPr="00000000" w:rsidR="00000000" w:rsidDel="00000000">
        <w:rPr>
          <w:rtl w:val="0"/>
        </w:rPr>
        <w:t xml:space="preserve">5,000 fillies (18 months to 3 years), large Belgian type;</w:t>
      </w:r>
    </w:p>
    <w:p w:rsidP="00000000" w:rsidRPr="00000000" w:rsidR="00000000" w:rsidDel="00000000" w:rsidRDefault="00000000">
      <w:pPr>
        <w:contextualSpacing w:val="0"/>
      </w:pPr>
      <w:r w:rsidRPr="00000000" w:rsidR="00000000" w:rsidDel="00000000">
        <w:rPr>
          <w:rtl w:val="0"/>
        </w:rPr>
        <w:t xml:space="preserve">2,000 bulls (18 months to 3 years);</w:t>
      </w:r>
    </w:p>
    <w:p w:rsidP="00000000" w:rsidRPr="00000000" w:rsidR="00000000" w:rsidDel="00000000" w:rsidRDefault="00000000">
      <w:pPr>
        <w:contextualSpacing w:val="0"/>
      </w:pPr>
      <w:r w:rsidRPr="00000000" w:rsidR="00000000" w:rsidDel="00000000">
        <w:rPr>
          <w:rtl w:val="0"/>
        </w:rPr>
        <w:t xml:space="preserve">50,000 milch cows (2 to 6 years);</w:t>
      </w:r>
    </w:p>
    <w:p w:rsidP="00000000" w:rsidRPr="00000000" w:rsidR="00000000" w:rsidDel="00000000" w:rsidRDefault="00000000">
      <w:pPr>
        <w:contextualSpacing w:val="0"/>
      </w:pPr>
      <w:r w:rsidRPr="00000000" w:rsidR="00000000" w:rsidDel="00000000">
        <w:rPr>
          <w:rtl w:val="0"/>
        </w:rPr>
        <w:t xml:space="preserve">40,000 heifers;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